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6963E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center"/>
        <w:textAlignment w:val="auto"/>
        <w:rPr>
          <w:rFonts w:hint="eastAsia" w:ascii="微软雅黑" w:hAnsi="微软雅黑" w:eastAsia="微软雅黑" w:cs="微软雅黑"/>
          <w:b/>
          <w:bCs w:val="0"/>
          <w:i w:val="0"/>
          <w:caps w:val="0"/>
          <w:color w:val="222222"/>
          <w:spacing w:val="0"/>
          <w:sz w:val="48"/>
          <w:szCs w:val="48"/>
        </w:rPr>
      </w:pPr>
      <w:r>
        <w:rPr>
          <w:rFonts w:hint="eastAsia" w:ascii="微软雅黑" w:hAnsi="微软雅黑" w:eastAsia="微软雅黑" w:cs="微软雅黑"/>
          <w:b/>
          <w:bCs w:val="0"/>
          <w:i w:val="0"/>
          <w:caps w:val="0"/>
          <w:color w:val="222222"/>
          <w:spacing w:val="0"/>
          <w:sz w:val="48"/>
          <w:szCs w:val="48"/>
          <w:lang w:eastAsia="zh-CN"/>
        </w:rPr>
        <w:t>江西省土木建筑学会团体标准</w:t>
      </w:r>
      <w:r>
        <w:rPr>
          <w:rFonts w:hint="eastAsia" w:ascii="微软雅黑" w:hAnsi="微软雅黑" w:eastAsia="微软雅黑" w:cs="微软雅黑"/>
          <w:b/>
          <w:bCs w:val="0"/>
          <w:i w:val="0"/>
          <w:caps w:val="0"/>
          <w:color w:val="222222"/>
          <w:spacing w:val="0"/>
          <w:sz w:val="48"/>
          <w:szCs w:val="48"/>
        </w:rPr>
        <w:t>复审管理办法</w:t>
      </w:r>
    </w:p>
    <w:p w14:paraId="1F74EC28">
      <w:pPr>
        <w:pStyle w:val="9"/>
        <w:widowControl/>
        <w:numPr>
          <w:ilvl w:val="0"/>
          <w:numId w:val="0"/>
        </w:numPr>
        <w:shd w:val="clear" w:color="auto" w:fill="FFFFFF"/>
        <w:ind w:leftChars="0"/>
        <w:jc w:val="both"/>
        <w:rPr>
          <w:rFonts w:hint="eastAsia" w:ascii="宋体" w:hAnsi="宋体" w:eastAsia="宋体" w:cs="宋体"/>
          <w:b w:val="0"/>
          <w:bCs w:val="0"/>
          <w:color w:val="auto"/>
          <w:spacing w:val="9"/>
          <w:kern w:val="2"/>
          <w:sz w:val="28"/>
          <w:szCs w:val="28"/>
          <w:shd w:val="clear" w:color="auto" w:fill="FFFFFF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 w:val="0"/>
          <w:bCs w:val="0"/>
          <w:color w:val="auto"/>
          <w:spacing w:val="9"/>
          <w:kern w:val="2"/>
          <w:sz w:val="28"/>
          <w:szCs w:val="28"/>
          <w:shd w:val="clear" w:color="auto" w:fill="FFFFFF"/>
          <w:lang w:val="en-US" w:eastAsia="zh-CN"/>
        </w:rPr>
        <w:t>(</w:t>
      </w:r>
      <w:r>
        <w:rPr>
          <w:rFonts w:hint="eastAsia" w:ascii="宋体" w:hAnsi="宋体" w:eastAsia="宋体" w:cs="宋体"/>
          <w:b w:val="0"/>
          <w:bCs w:val="0"/>
          <w:color w:val="auto"/>
          <w:spacing w:val="9"/>
          <w:sz w:val="28"/>
          <w:szCs w:val="28"/>
          <w:shd w:val="clear" w:color="auto" w:fill="FFFFFF"/>
          <w:lang w:val="en-US" w:eastAsia="zh-CN"/>
        </w:rPr>
        <w:t>2025年2月22日江西省土木建筑学会九届二次常务理事会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9"/>
          <w:sz w:val="28"/>
          <w:szCs w:val="28"/>
          <w:shd w:val="clear" w:color="auto" w:fill="FFFFFF"/>
        </w:rPr>
        <w:t>审议通过</w:t>
      </w:r>
      <w:r>
        <w:rPr>
          <w:rFonts w:hint="eastAsia" w:ascii="宋体" w:hAnsi="宋体" w:eastAsia="宋体" w:cs="宋体"/>
          <w:b w:val="0"/>
          <w:bCs w:val="0"/>
          <w:color w:val="auto"/>
          <w:spacing w:val="9"/>
          <w:kern w:val="2"/>
          <w:sz w:val="28"/>
          <w:szCs w:val="28"/>
          <w:shd w:val="clear" w:color="auto" w:fill="FFFFFF"/>
          <w:lang w:val="en-US" w:eastAsia="zh-CN"/>
        </w:rPr>
        <w:t>)</w:t>
      </w:r>
    </w:p>
    <w:bookmarkEnd w:id="0"/>
    <w:p w14:paraId="39FA7FEC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76" w:afterAutospacing="0" w:line="240" w:lineRule="auto"/>
        <w:ind w:left="0" w:right="0"/>
        <w:textAlignment w:val="auto"/>
        <w:rPr>
          <w:rFonts w:hint="default" w:ascii="Tahoma" w:hAnsi="Tahoma" w:eastAsia="Tahoma" w:cs="Tahoma"/>
          <w:i w:val="0"/>
          <w:caps w:val="0"/>
          <w:color w:val="666666"/>
          <w:spacing w:val="0"/>
          <w:sz w:val="10"/>
          <w:szCs w:val="10"/>
        </w:rPr>
      </w:pPr>
    </w:p>
    <w:p w14:paraId="364FB7A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76" w:afterAutospacing="0" w:line="120" w:lineRule="auto"/>
        <w:ind w:left="0" w:right="0" w:firstLine="482" w:firstLineChars="200"/>
        <w:textAlignment w:val="auto"/>
        <w:rPr>
          <w:rFonts w:hint="eastAsia" w:asciiTheme="majorEastAsia" w:hAnsiTheme="majorEastAsia" w:eastAsiaTheme="majorEastAsia" w:cstheme="majorEastAsia"/>
          <w:color w:val="666666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666666"/>
          <w:spacing w:val="0"/>
          <w:sz w:val="24"/>
          <w:szCs w:val="24"/>
        </w:rPr>
        <w:t>第一条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666666"/>
          <w:spacing w:val="0"/>
          <w:sz w:val="24"/>
          <w:szCs w:val="24"/>
        </w:rPr>
        <w:t> 为加强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666666"/>
          <w:spacing w:val="0"/>
          <w:sz w:val="24"/>
          <w:szCs w:val="24"/>
          <w:lang w:eastAsia="zh-CN"/>
        </w:rPr>
        <w:t>江西省土木建筑学会团体标准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666666"/>
          <w:spacing w:val="0"/>
          <w:sz w:val="24"/>
          <w:szCs w:val="24"/>
        </w:rPr>
        <w:t>的复审工作，不断提高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666666"/>
          <w:spacing w:val="0"/>
          <w:sz w:val="24"/>
          <w:szCs w:val="24"/>
          <w:lang w:eastAsia="zh-CN"/>
        </w:rPr>
        <w:t>江西省土木建筑学会团体标准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666666"/>
          <w:spacing w:val="0"/>
          <w:sz w:val="24"/>
          <w:szCs w:val="24"/>
        </w:rPr>
        <w:t>的质量和技术水平，促进新技术、新工艺、新材料的应用，根据《标准化法》、《标准化法实施条例》和《团体标准管理规定》、《工程建设行业标准管理办法》等有关法律、法规的规定，制定本办法。</w:t>
      </w:r>
    </w:p>
    <w:p w14:paraId="12A3104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76" w:afterAutospacing="0" w:line="120" w:lineRule="auto"/>
        <w:ind w:left="0" w:right="0" w:firstLine="420"/>
        <w:textAlignment w:val="auto"/>
        <w:rPr>
          <w:rFonts w:hint="eastAsia" w:asciiTheme="majorEastAsia" w:hAnsiTheme="majorEastAsia" w:eastAsiaTheme="majorEastAsia" w:cstheme="majorEastAsia"/>
          <w:color w:val="666666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666666"/>
          <w:spacing w:val="0"/>
          <w:sz w:val="24"/>
          <w:szCs w:val="24"/>
        </w:rPr>
        <w:t>第二条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666666"/>
          <w:spacing w:val="0"/>
          <w:sz w:val="24"/>
          <w:szCs w:val="24"/>
        </w:rPr>
        <w:t> 本办法适用于现行江西省土木建筑学会团体标准的复审。</w:t>
      </w:r>
    </w:p>
    <w:p w14:paraId="5235250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76" w:afterAutospacing="0" w:line="120" w:lineRule="auto"/>
        <w:ind w:left="0" w:right="0" w:firstLine="420"/>
        <w:textAlignment w:val="auto"/>
        <w:rPr>
          <w:rFonts w:hint="eastAsia" w:asciiTheme="majorEastAsia" w:hAnsiTheme="majorEastAsia" w:eastAsiaTheme="majorEastAsia" w:cstheme="majorEastAsia"/>
          <w:color w:val="666666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666666"/>
          <w:spacing w:val="0"/>
          <w:sz w:val="24"/>
          <w:szCs w:val="24"/>
        </w:rPr>
        <w:t>本办法所称复审是指对现行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666666"/>
          <w:spacing w:val="0"/>
          <w:sz w:val="24"/>
          <w:szCs w:val="24"/>
          <w:lang w:eastAsia="zh-CN"/>
        </w:rPr>
        <w:t>江西省土木建筑学会颁布学会团体标准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666666"/>
          <w:spacing w:val="0"/>
          <w:sz w:val="24"/>
          <w:szCs w:val="24"/>
        </w:rPr>
        <w:t>的适用范围、技术水平、指标参数等内容进行复查和审议，以确认其继续有效、废止或予以修订的活动。</w:t>
      </w:r>
    </w:p>
    <w:p w14:paraId="11133A4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76" w:afterAutospacing="0" w:line="120" w:lineRule="auto"/>
        <w:ind w:left="0" w:right="0" w:firstLine="420"/>
        <w:textAlignment w:val="auto"/>
        <w:rPr>
          <w:rFonts w:hint="eastAsia" w:asciiTheme="majorEastAsia" w:hAnsiTheme="majorEastAsia" w:eastAsiaTheme="majorEastAsia" w:cstheme="majorEastAsia"/>
          <w:color w:val="666666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666666"/>
          <w:spacing w:val="0"/>
          <w:sz w:val="24"/>
          <w:szCs w:val="24"/>
        </w:rPr>
        <w:t>第三条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666666"/>
          <w:spacing w:val="0"/>
          <w:sz w:val="24"/>
          <w:szCs w:val="24"/>
        </w:rPr>
        <w:t> 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666666"/>
          <w:spacing w:val="0"/>
          <w:sz w:val="24"/>
          <w:szCs w:val="24"/>
          <w:lang w:eastAsia="zh-CN"/>
        </w:rPr>
        <w:t>江西省土木建筑学会团体标准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666666"/>
          <w:spacing w:val="0"/>
          <w:sz w:val="24"/>
          <w:szCs w:val="24"/>
        </w:rPr>
        <w:t>的复审，一般在标准实施后五年进行一次。属于下列情况之一的，应当及时进行复审：</w:t>
      </w:r>
    </w:p>
    <w:p w14:paraId="741E1A1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76" w:afterAutospacing="0" w:line="120" w:lineRule="auto"/>
        <w:ind w:left="0" w:right="0" w:firstLine="420"/>
        <w:textAlignment w:val="auto"/>
        <w:rPr>
          <w:rFonts w:hint="eastAsia" w:asciiTheme="majorEastAsia" w:hAnsiTheme="majorEastAsia" w:eastAsiaTheme="majorEastAsia" w:cstheme="majorEastAsia"/>
          <w:i w:val="0"/>
          <w:caps w:val="0"/>
          <w:color w:val="666666"/>
          <w:spacing w:val="0"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666666"/>
          <w:spacing w:val="0"/>
          <w:sz w:val="24"/>
          <w:szCs w:val="24"/>
          <w:lang w:eastAsia="zh-CN"/>
        </w:rPr>
        <w:t>一、不适应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666666"/>
          <w:spacing w:val="0"/>
          <w:sz w:val="24"/>
          <w:szCs w:val="24"/>
          <w:lang w:eastAsia="zh-CN"/>
        </w:rPr>
        <w:fldChar w:fldCharType="begin"/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666666"/>
          <w:spacing w:val="0"/>
          <w:sz w:val="24"/>
          <w:szCs w:val="24"/>
          <w:lang w:eastAsia="zh-CN"/>
        </w:rPr>
        <w:instrText xml:space="preserve"> HYPERLINK "https://www.66law.cn/tiaoli/" \o "法律法规" \t "https://www.66law.cn/tiaoli/_blank" </w:instrTex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666666"/>
          <w:spacing w:val="0"/>
          <w:sz w:val="24"/>
          <w:szCs w:val="24"/>
          <w:lang w:eastAsia="zh-CN"/>
        </w:rPr>
        <w:fldChar w:fldCharType="separate"/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666666"/>
          <w:spacing w:val="0"/>
          <w:sz w:val="24"/>
          <w:szCs w:val="24"/>
          <w:lang w:eastAsia="zh-CN"/>
        </w:rPr>
        <w:t>法律法规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666666"/>
          <w:spacing w:val="0"/>
          <w:sz w:val="24"/>
          <w:szCs w:val="24"/>
          <w:lang w:eastAsia="zh-CN"/>
        </w:rPr>
        <w:fldChar w:fldCharType="end"/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666666"/>
          <w:spacing w:val="0"/>
          <w:sz w:val="24"/>
          <w:szCs w:val="24"/>
          <w:lang w:eastAsia="zh-CN"/>
        </w:rPr>
        <w:t>、国家产业政策、产业结构调整、产品更新换代或科学技术发展需要的。</w:t>
      </w:r>
    </w:p>
    <w:p w14:paraId="16167C6A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76" w:afterAutospacing="0" w:line="120" w:lineRule="auto"/>
        <w:ind w:left="0" w:right="0" w:firstLine="420"/>
        <w:textAlignment w:val="auto"/>
        <w:rPr>
          <w:rFonts w:hint="eastAsia" w:asciiTheme="majorEastAsia" w:hAnsiTheme="majorEastAsia" w:eastAsiaTheme="majorEastAsia" w:cstheme="majorEastAsia"/>
          <w:i w:val="0"/>
          <w:caps w:val="0"/>
          <w:color w:val="666666"/>
          <w:spacing w:val="0"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666666"/>
          <w:spacing w:val="0"/>
          <w:sz w:val="24"/>
          <w:szCs w:val="24"/>
          <w:lang w:eastAsia="zh-CN"/>
        </w:rPr>
        <w:t>二、不适应我国加入世界贸易组织的有关规定或开展国际贸易需要的。</w:t>
      </w:r>
    </w:p>
    <w:p w14:paraId="25DEF01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76" w:afterAutospacing="0" w:line="120" w:lineRule="auto"/>
        <w:ind w:left="0" w:right="0" w:firstLine="420"/>
        <w:textAlignment w:val="auto"/>
        <w:rPr>
          <w:rFonts w:hint="eastAsia" w:asciiTheme="majorEastAsia" w:hAnsiTheme="majorEastAsia" w:eastAsiaTheme="majorEastAsia" w:cstheme="majorEastAsia"/>
          <w:i w:val="0"/>
          <w:caps w:val="0"/>
          <w:color w:val="666666"/>
          <w:spacing w:val="0"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666666"/>
          <w:spacing w:val="0"/>
          <w:sz w:val="24"/>
          <w:szCs w:val="24"/>
          <w:lang w:eastAsia="zh-CN"/>
        </w:rPr>
        <w:t>三、所引用的或相关的技术标准进行了重大修改、修订并批准发布的。</w:t>
      </w:r>
    </w:p>
    <w:p w14:paraId="4B5EC24C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76" w:afterAutospacing="0" w:line="120" w:lineRule="auto"/>
        <w:ind w:left="0" w:right="0" w:firstLine="420"/>
        <w:textAlignment w:val="auto"/>
        <w:rPr>
          <w:rFonts w:hint="eastAsia" w:asciiTheme="majorEastAsia" w:hAnsiTheme="majorEastAsia" w:eastAsiaTheme="majorEastAsia" w:cstheme="majorEastAsia"/>
          <w:i w:val="0"/>
          <w:caps w:val="0"/>
          <w:color w:val="666666"/>
          <w:spacing w:val="0"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666666"/>
          <w:spacing w:val="0"/>
          <w:sz w:val="24"/>
          <w:szCs w:val="24"/>
          <w:lang w:eastAsia="zh-CN"/>
        </w:rPr>
        <w:t>四、重大突发性事件、自然灾害、工程质量或安全事故发生后需要的。</w:t>
      </w:r>
    </w:p>
    <w:p w14:paraId="170DCFA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76" w:afterAutospacing="0" w:line="120" w:lineRule="auto"/>
        <w:ind w:left="0" w:right="0" w:firstLine="420"/>
        <w:textAlignment w:val="auto"/>
        <w:rPr>
          <w:rFonts w:hint="eastAsia" w:asciiTheme="majorEastAsia" w:hAnsiTheme="majorEastAsia" w:eastAsiaTheme="majorEastAsia" w:cstheme="majorEastAsia"/>
          <w:i w:val="0"/>
          <w:caps w:val="0"/>
          <w:color w:val="666666"/>
          <w:spacing w:val="0"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666666"/>
          <w:spacing w:val="0"/>
          <w:sz w:val="24"/>
          <w:szCs w:val="24"/>
          <w:lang w:eastAsia="zh-CN"/>
        </w:rPr>
        <w:t>五、标准实施中有重要反馈意见的。</w:t>
      </w:r>
    </w:p>
    <w:p w14:paraId="7540270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76" w:afterAutospacing="0" w:line="120" w:lineRule="auto"/>
        <w:ind w:left="0" w:right="0" w:firstLine="420"/>
        <w:textAlignment w:val="auto"/>
        <w:rPr>
          <w:rFonts w:hint="eastAsia" w:asciiTheme="majorEastAsia" w:hAnsiTheme="majorEastAsia" w:eastAsiaTheme="majorEastAsia" w:cstheme="majorEastAsia"/>
          <w:color w:val="666666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666666"/>
          <w:spacing w:val="0"/>
          <w:sz w:val="24"/>
          <w:szCs w:val="24"/>
          <w:lang w:eastAsia="zh-CN"/>
        </w:rPr>
        <w:t>江西省土木建筑学会团体标准(以下简称学会团体标准)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666666"/>
          <w:spacing w:val="0"/>
          <w:sz w:val="24"/>
          <w:szCs w:val="24"/>
        </w:rPr>
        <w:t>的复审，一般由标准主编单位或有关组织单位提出申请，并按《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666666"/>
          <w:spacing w:val="0"/>
          <w:sz w:val="24"/>
          <w:szCs w:val="24"/>
          <w:lang w:eastAsia="zh-CN"/>
        </w:rPr>
        <w:t>江西省土木建筑学会团体标准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666666"/>
          <w:spacing w:val="0"/>
          <w:sz w:val="24"/>
          <w:szCs w:val="24"/>
        </w:rPr>
        <w:t>复审申请表》（附件一）的要求报请标准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666666"/>
          <w:spacing w:val="0"/>
          <w:sz w:val="24"/>
          <w:szCs w:val="24"/>
          <w:lang w:eastAsia="zh-CN"/>
        </w:rPr>
        <w:t>的颁布部门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666666"/>
          <w:spacing w:val="0"/>
          <w:sz w:val="24"/>
          <w:szCs w:val="24"/>
          <w:lang w:val="en-US" w:eastAsia="zh-CN"/>
        </w:rPr>
        <w:t>(即江西省土木建筑学会，下简称学会)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666666"/>
          <w:spacing w:val="0"/>
          <w:sz w:val="24"/>
          <w:szCs w:val="24"/>
        </w:rPr>
        <w:t>同意后开展。</w:t>
      </w:r>
    </w:p>
    <w:p w14:paraId="4B6A1A4C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76" w:afterAutospacing="0" w:line="120" w:lineRule="auto"/>
        <w:ind w:left="0" w:right="0" w:firstLine="420"/>
        <w:textAlignment w:val="auto"/>
        <w:rPr>
          <w:rFonts w:hint="eastAsia" w:asciiTheme="majorEastAsia" w:hAnsiTheme="majorEastAsia" w:eastAsiaTheme="majorEastAsia" w:cstheme="majorEastAsia"/>
          <w:color w:val="666666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666666"/>
          <w:spacing w:val="0"/>
          <w:sz w:val="24"/>
          <w:szCs w:val="24"/>
        </w:rPr>
        <w:t>第四条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666666"/>
          <w:spacing w:val="0"/>
          <w:sz w:val="24"/>
          <w:szCs w:val="24"/>
        </w:rPr>
        <w:t> 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666666"/>
          <w:spacing w:val="0"/>
          <w:sz w:val="24"/>
          <w:szCs w:val="24"/>
          <w:lang w:eastAsia="zh-CN"/>
        </w:rPr>
        <w:t>学会团体标准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666666"/>
          <w:spacing w:val="0"/>
          <w:sz w:val="24"/>
          <w:szCs w:val="24"/>
        </w:rPr>
        <w:t>的复审工作应当由学会负责组织。</w:t>
      </w:r>
    </w:p>
    <w:p w14:paraId="21C869E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76" w:afterAutospacing="0" w:line="120" w:lineRule="auto"/>
        <w:ind w:left="0" w:right="0" w:firstLine="420"/>
        <w:textAlignment w:val="auto"/>
        <w:rPr>
          <w:rFonts w:hint="eastAsia" w:asciiTheme="majorEastAsia" w:hAnsiTheme="majorEastAsia" w:eastAsiaTheme="majorEastAsia" w:cstheme="majorEastAsia"/>
          <w:color w:val="666666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666666"/>
          <w:spacing w:val="0"/>
          <w:sz w:val="24"/>
          <w:szCs w:val="24"/>
        </w:rPr>
        <w:t>第五条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666666"/>
          <w:spacing w:val="0"/>
          <w:sz w:val="24"/>
          <w:szCs w:val="24"/>
        </w:rPr>
        <w:t> 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666666"/>
          <w:spacing w:val="0"/>
          <w:sz w:val="24"/>
          <w:szCs w:val="24"/>
          <w:lang w:eastAsia="zh-CN"/>
        </w:rPr>
        <w:t>学会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666666"/>
          <w:spacing w:val="0"/>
          <w:sz w:val="24"/>
          <w:szCs w:val="24"/>
        </w:rPr>
        <w:t>应当将标准复审工作纳入年度工作计划，并为复审工作的开展创造条件。</w:t>
      </w:r>
    </w:p>
    <w:p w14:paraId="245F041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76" w:afterAutospacing="0" w:line="120" w:lineRule="auto"/>
        <w:ind w:left="0" w:right="0" w:firstLine="420"/>
        <w:textAlignment w:val="auto"/>
        <w:rPr>
          <w:rFonts w:hint="eastAsia" w:asciiTheme="majorEastAsia" w:hAnsiTheme="majorEastAsia" w:eastAsiaTheme="majorEastAsia" w:cstheme="majorEastAsia"/>
          <w:color w:val="666666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666666"/>
          <w:spacing w:val="0"/>
          <w:sz w:val="24"/>
          <w:szCs w:val="24"/>
        </w:rPr>
        <w:t>第六条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666666"/>
          <w:spacing w:val="0"/>
          <w:sz w:val="24"/>
          <w:szCs w:val="24"/>
        </w:rPr>
        <w:t> 复审工作应当符合下列程序：</w:t>
      </w:r>
    </w:p>
    <w:p w14:paraId="5E16C14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76" w:afterAutospacing="0" w:line="120" w:lineRule="auto"/>
        <w:ind w:left="0" w:right="0" w:firstLine="420"/>
        <w:textAlignment w:val="auto"/>
        <w:rPr>
          <w:rFonts w:hint="eastAsia" w:asciiTheme="majorEastAsia" w:hAnsiTheme="majorEastAsia" w:eastAsiaTheme="majorEastAsia" w:cstheme="majorEastAsia"/>
          <w:color w:val="666666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666666"/>
          <w:spacing w:val="0"/>
          <w:sz w:val="24"/>
          <w:szCs w:val="24"/>
        </w:rPr>
        <w:t>一、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666666"/>
          <w:spacing w:val="0"/>
          <w:sz w:val="24"/>
          <w:szCs w:val="24"/>
          <w:lang w:eastAsia="zh-CN"/>
        </w:rPr>
        <w:t>学会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666666"/>
          <w:spacing w:val="0"/>
          <w:sz w:val="24"/>
          <w:szCs w:val="24"/>
        </w:rPr>
        <w:t>按照本办法第三条的规定拟定复审工作年度计划、组织方案，年度计划包括标准名称及编号、主编单位、进度要求等；</w:t>
      </w:r>
    </w:p>
    <w:p w14:paraId="4498E15C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76" w:afterAutospacing="0" w:line="120" w:lineRule="auto"/>
        <w:ind w:left="0" w:right="0" w:firstLine="420"/>
        <w:textAlignment w:val="auto"/>
        <w:rPr>
          <w:rFonts w:hint="eastAsia" w:asciiTheme="majorEastAsia" w:hAnsiTheme="majorEastAsia" w:eastAsiaTheme="majorEastAsia" w:cstheme="majorEastAsia"/>
          <w:color w:val="666666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666666"/>
          <w:spacing w:val="0"/>
          <w:sz w:val="24"/>
          <w:szCs w:val="24"/>
        </w:rPr>
        <w:t>二、主编单位或组织单位拟定复审工作实施方案，按要求完成复审工作，并填写《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666666"/>
          <w:spacing w:val="0"/>
          <w:sz w:val="24"/>
          <w:szCs w:val="24"/>
          <w:lang w:eastAsia="zh-CN"/>
        </w:rPr>
        <w:t>江西省土木建筑学会团体标准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666666"/>
          <w:spacing w:val="0"/>
          <w:sz w:val="24"/>
          <w:szCs w:val="24"/>
        </w:rPr>
        <w:t>复审审议意见表》（附件二），报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666666"/>
          <w:spacing w:val="0"/>
          <w:sz w:val="24"/>
          <w:szCs w:val="24"/>
          <w:lang w:eastAsia="zh-CN"/>
        </w:rPr>
        <w:t>学会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666666"/>
          <w:spacing w:val="0"/>
          <w:sz w:val="24"/>
          <w:szCs w:val="24"/>
        </w:rPr>
        <w:t>；</w:t>
      </w:r>
    </w:p>
    <w:p w14:paraId="0C8EAD2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76" w:afterAutospacing="0" w:line="120" w:lineRule="auto"/>
        <w:ind w:left="0" w:right="0" w:firstLine="420"/>
        <w:textAlignment w:val="auto"/>
        <w:rPr>
          <w:rFonts w:hint="eastAsia" w:asciiTheme="majorEastAsia" w:hAnsiTheme="majorEastAsia" w:eastAsiaTheme="majorEastAsia" w:cstheme="majorEastAsia"/>
          <w:color w:val="666666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666666"/>
          <w:spacing w:val="0"/>
          <w:sz w:val="24"/>
          <w:szCs w:val="24"/>
        </w:rPr>
        <w:t>三、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666666"/>
          <w:spacing w:val="0"/>
          <w:sz w:val="24"/>
          <w:szCs w:val="24"/>
          <w:lang w:eastAsia="zh-CN"/>
        </w:rPr>
        <w:t>学会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666666"/>
          <w:spacing w:val="0"/>
          <w:sz w:val="24"/>
          <w:szCs w:val="24"/>
        </w:rPr>
        <w:t>对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666666"/>
          <w:spacing w:val="0"/>
          <w:sz w:val="24"/>
          <w:szCs w:val="24"/>
          <w:lang w:eastAsia="zh-CN"/>
        </w:rPr>
        <w:t>学会团体标准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666666"/>
          <w:spacing w:val="0"/>
          <w:sz w:val="24"/>
          <w:szCs w:val="24"/>
        </w:rPr>
        <w:t>复审审议意见进行审核，确定标准的复审意见。</w:t>
      </w:r>
    </w:p>
    <w:p w14:paraId="506CFBC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76" w:afterAutospacing="0" w:line="120" w:lineRule="auto"/>
        <w:ind w:left="0" w:right="0" w:firstLine="420"/>
        <w:textAlignment w:val="auto"/>
        <w:rPr>
          <w:rFonts w:hint="eastAsia" w:asciiTheme="majorEastAsia" w:hAnsiTheme="majorEastAsia" w:eastAsiaTheme="majorEastAsia" w:cstheme="majorEastAsia"/>
          <w:color w:val="666666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666666"/>
          <w:spacing w:val="0"/>
          <w:sz w:val="24"/>
          <w:szCs w:val="24"/>
        </w:rPr>
        <w:t>第七条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666666"/>
          <w:spacing w:val="0"/>
          <w:sz w:val="24"/>
          <w:szCs w:val="24"/>
        </w:rPr>
        <w:t> 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666666"/>
          <w:spacing w:val="0"/>
          <w:sz w:val="24"/>
          <w:szCs w:val="24"/>
          <w:lang w:eastAsia="zh-CN"/>
        </w:rPr>
        <w:t>学会团体标准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666666"/>
          <w:spacing w:val="0"/>
          <w:sz w:val="24"/>
          <w:szCs w:val="24"/>
        </w:rPr>
        <w:t>的复审可以采取会审、函审或网上审议方式。参加复审人员应当包括标准的管理机构代表、主要编制人员和熟悉该标准的有关专家。</w:t>
      </w:r>
    </w:p>
    <w:p w14:paraId="611C020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76" w:afterAutospacing="0" w:line="120" w:lineRule="auto"/>
        <w:ind w:left="0" w:right="0" w:firstLine="420"/>
        <w:textAlignment w:val="auto"/>
        <w:rPr>
          <w:rFonts w:hint="eastAsia" w:asciiTheme="majorEastAsia" w:hAnsiTheme="majorEastAsia" w:eastAsiaTheme="majorEastAsia" w:cstheme="majorEastAsia"/>
          <w:color w:val="666666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666666"/>
          <w:spacing w:val="0"/>
          <w:sz w:val="24"/>
          <w:szCs w:val="24"/>
        </w:rPr>
        <w:t>第八条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666666"/>
          <w:spacing w:val="0"/>
          <w:sz w:val="24"/>
          <w:szCs w:val="24"/>
        </w:rPr>
        <w:t> 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666666"/>
          <w:spacing w:val="0"/>
          <w:sz w:val="24"/>
          <w:szCs w:val="24"/>
          <w:lang w:eastAsia="zh-CN"/>
        </w:rPr>
        <w:t>学会团体标准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666666"/>
          <w:spacing w:val="0"/>
          <w:sz w:val="24"/>
          <w:szCs w:val="24"/>
        </w:rPr>
        <w:t>复审的审议意见应当按下列原则确定：</w:t>
      </w:r>
    </w:p>
    <w:p w14:paraId="713D9B2D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76" w:afterAutospacing="0" w:line="120" w:lineRule="auto"/>
        <w:ind w:left="0" w:right="0" w:firstLine="420"/>
        <w:textAlignment w:val="auto"/>
        <w:rPr>
          <w:rFonts w:hint="eastAsia" w:asciiTheme="majorEastAsia" w:hAnsiTheme="majorEastAsia" w:eastAsiaTheme="majorEastAsia" w:cstheme="majorEastAsia"/>
          <w:color w:val="666666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666666"/>
          <w:spacing w:val="0"/>
          <w:sz w:val="24"/>
          <w:szCs w:val="24"/>
        </w:rPr>
        <w:t>一、部分技术内容不再适用、与上级标准重复或矛盾、不满足现行法律法规规定等，应当建议修订或局部修订。</w:t>
      </w:r>
    </w:p>
    <w:p w14:paraId="273D587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76" w:afterAutospacing="0" w:line="120" w:lineRule="auto"/>
        <w:ind w:left="0" w:right="0" w:firstLine="420"/>
        <w:textAlignment w:val="auto"/>
        <w:rPr>
          <w:rFonts w:hint="eastAsia" w:asciiTheme="majorEastAsia" w:hAnsiTheme="majorEastAsia" w:eastAsiaTheme="majorEastAsia" w:cstheme="majorEastAsia"/>
          <w:color w:val="666666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666666"/>
          <w:spacing w:val="0"/>
          <w:sz w:val="24"/>
          <w:szCs w:val="24"/>
        </w:rPr>
        <w:t>二、全部技术内容不再适用、与上级标准重复或矛盾、不符合现行法律法规规定等，应当建议废止。</w:t>
      </w:r>
    </w:p>
    <w:p w14:paraId="18BA4D9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76" w:afterAutospacing="0" w:line="120" w:lineRule="auto"/>
        <w:ind w:left="0" w:right="0" w:firstLine="420"/>
        <w:textAlignment w:val="auto"/>
        <w:rPr>
          <w:rFonts w:hint="eastAsia" w:asciiTheme="majorEastAsia" w:hAnsiTheme="majorEastAsia" w:eastAsiaTheme="majorEastAsia" w:cstheme="majorEastAsia"/>
          <w:color w:val="666666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666666"/>
          <w:spacing w:val="0"/>
          <w:sz w:val="24"/>
          <w:szCs w:val="24"/>
        </w:rPr>
        <w:t>三、技术内容仍然适用且可与其他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666666"/>
          <w:spacing w:val="0"/>
          <w:sz w:val="24"/>
          <w:szCs w:val="24"/>
          <w:lang w:eastAsia="zh-CN"/>
        </w:rPr>
        <w:t>学会团体标准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666666"/>
          <w:spacing w:val="0"/>
          <w:sz w:val="24"/>
          <w:szCs w:val="24"/>
        </w:rPr>
        <w:t>合并的，应当建议合并。</w:t>
      </w:r>
    </w:p>
    <w:p w14:paraId="29CEEC2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76" w:afterAutospacing="0" w:line="120" w:lineRule="auto"/>
        <w:ind w:left="0" w:right="0" w:firstLine="420"/>
        <w:textAlignment w:val="auto"/>
        <w:rPr>
          <w:rFonts w:hint="eastAsia" w:asciiTheme="majorEastAsia" w:hAnsiTheme="majorEastAsia" w:eastAsiaTheme="majorEastAsia" w:cstheme="majorEastAsia"/>
          <w:color w:val="666666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666666"/>
          <w:spacing w:val="0"/>
          <w:sz w:val="24"/>
          <w:szCs w:val="24"/>
        </w:rPr>
        <w:t>四、技术内容仍然适用的标准，应当建议继续有效。</w:t>
      </w:r>
    </w:p>
    <w:p w14:paraId="6E120EE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76" w:afterAutospacing="0" w:line="120" w:lineRule="auto"/>
        <w:ind w:left="0" w:right="0" w:firstLine="420"/>
        <w:textAlignment w:val="auto"/>
        <w:rPr>
          <w:rFonts w:hint="eastAsia" w:asciiTheme="majorEastAsia" w:hAnsiTheme="majorEastAsia" w:eastAsiaTheme="majorEastAsia" w:cstheme="majorEastAsia"/>
          <w:color w:val="666666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666666"/>
          <w:spacing w:val="0"/>
          <w:sz w:val="24"/>
          <w:szCs w:val="24"/>
        </w:rPr>
        <w:t>第九条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666666"/>
          <w:spacing w:val="0"/>
          <w:sz w:val="24"/>
          <w:szCs w:val="24"/>
        </w:rPr>
        <w:t> 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666666"/>
          <w:spacing w:val="0"/>
          <w:sz w:val="24"/>
          <w:szCs w:val="24"/>
          <w:lang w:eastAsia="zh-CN"/>
        </w:rPr>
        <w:t>学会团体标准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666666"/>
          <w:spacing w:val="0"/>
          <w:sz w:val="24"/>
          <w:szCs w:val="24"/>
        </w:rPr>
        <w:t>复审的结果应当由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666666"/>
          <w:spacing w:val="0"/>
          <w:sz w:val="24"/>
          <w:szCs w:val="24"/>
          <w:lang w:eastAsia="zh-CN"/>
        </w:rPr>
        <w:t>学会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666666"/>
          <w:spacing w:val="0"/>
          <w:sz w:val="24"/>
          <w:szCs w:val="24"/>
        </w:rPr>
        <w:t>确认。对确认为继续有效或废止的，应当由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666666"/>
          <w:spacing w:val="0"/>
          <w:sz w:val="24"/>
          <w:szCs w:val="24"/>
          <w:lang w:eastAsia="zh-CN"/>
        </w:rPr>
        <w:t>学会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666666"/>
          <w:spacing w:val="0"/>
          <w:sz w:val="24"/>
          <w:szCs w:val="24"/>
        </w:rPr>
        <w:t>公告；对确认为修订或合并的，应当按照轻重缓急的原则，由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666666"/>
          <w:spacing w:val="0"/>
          <w:sz w:val="24"/>
          <w:szCs w:val="24"/>
          <w:lang w:eastAsia="zh-CN"/>
        </w:rPr>
        <w:t>学会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666666"/>
          <w:spacing w:val="0"/>
          <w:sz w:val="24"/>
          <w:szCs w:val="24"/>
        </w:rPr>
        <w:t>纳入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666666"/>
          <w:spacing w:val="0"/>
          <w:sz w:val="24"/>
          <w:szCs w:val="24"/>
          <w:lang w:eastAsia="zh-CN"/>
        </w:rPr>
        <w:t>学会团体标准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666666"/>
          <w:spacing w:val="0"/>
          <w:sz w:val="24"/>
          <w:szCs w:val="24"/>
        </w:rPr>
        <w:t>的修订计划。</w:t>
      </w:r>
    </w:p>
    <w:p w14:paraId="2347ED6D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76" w:afterAutospacing="0" w:line="120" w:lineRule="auto"/>
        <w:ind w:left="0" w:right="0" w:firstLine="420"/>
        <w:textAlignment w:val="auto"/>
        <w:rPr>
          <w:rFonts w:hint="eastAsia" w:asciiTheme="majorEastAsia" w:hAnsiTheme="majorEastAsia" w:eastAsiaTheme="majorEastAsia" w:cstheme="majorEastAsia"/>
          <w:color w:val="666666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666666"/>
          <w:spacing w:val="0"/>
          <w:sz w:val="24"/>
          <w:szCs w:val="24"/>
        </w:rPr>
        <w:t>第十条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666666"/>
          <w:spacing w:val="0"/>
          <w:sz w:val="24"/>
          <w:szCs w:val="24"/>
        </w:rPr>
        <w:t> 对确认继续有效或废止的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666666"/>
          <w:spacing w:val="0"/>
          <w:sz w:val="24"/>
          <w:szCs w:val="24"/>
          <w:lang w:eastAsia="zh-CN"/>
        </w:rPr>
        <w:t>学会团体标准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666666"/>
          <w:spacing w:val="0"/>
          <w:sz w:val="24"/>
          <w:szCs w:val="24"/>
        </w:rPr>
        <w:t>公告，应当在指定媒体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666666"/>
          <w:spacing w:val="0"/>
          <w:sz w:val="24"/>
          <w:szCs w:val="24"/>
          <w:lang w:val="en-US" w:eastAsia="zh-CN"/>
        </w:rPr>
        <w:t>(学会网站及学会公众号)上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666666"/>
          <w:spacing w:val="0"/>
          <w:sz w:val="24"/>
          <w:szCs w:val="24"/>
        </w:rPr>
        <w:t>公布。</w:t>
      </w:r>
    </w:p>
    <w:p w14:paraId="1AD43F2A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76" w:afterAutospacing="0" w:line="120" w:lineRule="auto"/>
        <w:ind w:left="0" w:right="0" w:firstLine="420"/>
        <w:textAlignment w:val="auto"/>
        <w:rPr>
          <w:rFonts w:hint="eastAsia" w:asciiTheme="majorEastAsia" w:hAnsiTheme="majorEastAsia" w:eastAsiaTheme="majorEastAsia" w:cstheme="majorEastAsia"/>
          <w:color w:val="666666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666666"/>
          <w:spacing w:val="0"/>
          <w:sz w:val="24"/>
          <w:szCs w:val="24"/>
        </w:rPr>
        <w:t>第十一条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666666"/>
          <w:spacing w:val="0"/>
          <w:sz w:val="24"/>
          <w:szCs w:val="24"/>
        </w:rPr>
        <w:t> 经复审确认继续有效的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666666"/>
          <w:spacing w:val="0"/>
          <w:sz w:val="24"/>
          <w:szCs w:val="24"/>
          <w:lang w:eastAsia="zh-CN"/>
        </w:rPr>
        <w:t>学会团体标准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666666"/>
          <w:spacing w:val="0"/>
          <w:sz w:val="24"/>
          <w:szCs w:val="24"/>
        </w:rPr>
        <w:t>，再版时应在该标准的封面和扉页上增加“××××年××月确认继续有效”标记。</w:t>
      </w:r>
    </w:p>
    <w:p w14:paraId="286022CD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76" w:afterAutospacing="0" w:line="120" w:lineRule="auto"/>
        <w:ind w:left="0" w:right="0" w:firstLine="420"/>
        <w:textAlignment w:val="auto"/>
        <w:rPr>
          <w:rFonts w:hint="eastAsia" w:asciiTheme="majorEastAsia" w:hAnsiTheme="majorEastAsia" w:eastAsiaTheme="majorEastAsia" w:cstheme="majorEastAsia"/>
          <w:color w:val="666666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666666"/>
          <w:spacing w:val="0"/>
          <w:sz w:val="24"/>
          <w:szCs w:val="24"/>
        </w:rPr>
        <w:t>第十二条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666666"/>
          <w:spacing w:val="0"/>
          <w:sz w:val="24"/>
          <w:szCs w:val="24"/>
        </w:rPr>
        <w:t> 经确认废止的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666666"/>
          <w:spacing w:val="0"/>
          <w:sz w:val="24"/>
          <w:szCs w:val="24"/>
          <w:lang w:eastAsia="zh-CN"/>
        </w:rPr>
        <w:t>学会团体标准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666666"/>
          <w:spacing w:val="0"/>
          <w:sz w:val="24"/>
          <w:szCs w:val="24"/>
        </w:rPr>
        <w:t>，其废止生效时间由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666666"/>
          <w:spacing w:val="0"/>
          <w:sz w:val="24"/>
          <w:szCs w:val="24"/>
          <w:lang w:eastAsia="zh-CN"/>
        </w:rPr>
        <w:t>学会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666666"/>
          <w:spacing w:val="0"/>
          <w:sz w:val="24"/>
          <w:szCs w:val="24"/>
        </w:rPr>
        <w:t>确定。</w:t>
      </w:r>
    </w:p>
    <w:p w14:paraId="4062C6E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76" w:afterAutospacing="0" w:line="120" w:lineRule="auto"/>
        <w:ind w:left="0" w:right="0" w:firstLine="420"/>
        <w:textAlignment w:val="auto"/>
        <w:rPr>
          <w:rFonts w:hint="eastAsia" w:asciiTheme="majorEastAsia" w:hAnsiTheme="majorEastAsia" w:eastAsiaTheme="majorEastAsia" w:cstheme="majorEastAsia"/>
          <w:color w:val="666666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666666"/>
          <w:spacing w:val="0"/>
          <w:sz w:val="24"/>
          <w:szCs w:val="24"/>
        </w:rPr>
        <w:t>第十三条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666666"/>
          <w:spacing w:val="0"/>
          <w:sz w:val="24"/>
          <w:szCs w:val="24"/>
        </w:rPr>
        <w:t> 本办法由江西省土木建筑学会负责解释。</w:t>
      </w:r>
    </w:p>
    <w:p w14:paraId="36206DB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76" w:afterAutospacing="0" w:line="120" w:lineRule="auto"/>
        <w:ind w:left="0" w:right="0" w:firstLine="420"/>
        <w:textAlignment w:val="auto"/>
        <w:rPr>
          <w:rFonts w:hint="eastAsia" w:asciiTheme="majorEastAsia" w:hAnsiTheme="majorEastAsia" w:eastAsiaTheme="majorEastAsia" w:cstheme="majorEastAsia"/>
          <w:color w:val="666666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666666"/>
          <w:spacing w:val="0"/>
          <w:sz w:val="24"/>
          <w:szCs w:val="24"/>
        </w:rPr>
        <w:t>第十四条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666666"/>
          <w:spacing w:val="0"/>
          <w:sz w:val="24"/>
          <w:szCs w:val="24"/>
        </w:rPr>
        <w:t> 本办法自发布之日起实施。</w:t>
      </w:r>
    </w:p>
    <w:p w14:paraId="20CDF2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</w:p>
    <w:sectPr>
      <w:footerReference r:id="rId3" w:type="default"/>
      <w:pgSz w:w="11906" w:h="16838"/>
      <w:pgMar w:top="1304" w:right="1304" w:bottom="1304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0FB8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AF4D9B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AF4D9B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F15FA4"/>
    <w:rsid w:val="010479A6"/>
    <w:rsid w:val="0851119B"/>
    <w:rsid w:val="10607169"/>
    <w:rsid w:val="2AEE6CE5"/>
    <w:rsid w:val="2DBE3333"/>
    <w:rsid w:val="57F15FA4"/>
    <w:rsid w:val="78946E8A"/>
    <w:rsid w:val="7CB40242"/>
    <w:rsid w:val="7DAA6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1297</Words>
  <Characters>1297</Characters>
  <Lines>0</Lines>
  <Paragraphs>0</Paragraphs>
  <TotalTime>2</TotalTime>
  <ScaleCrop>false</ScaleCrop>
  <LinksUpToDate>false</LinksUpToDate>
  <CharactersWithSpaces>1311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2020-03-11T07:47:00Z</dcterms:created>
  <dc:creator>青柠薄荷</dc:creator>
  <cp:lastModifiedBy>lenovo01</cp:lastModifiedBy>
  <cp:lastPrinted>2020-03-11T07:47:00Z</cp:lastPrinted>
  <dcterms:modified xsi:type="dcterms:W3CDTF">2025-02-25T03:49:14Z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CA2F88B8CAAC40089BC8F8EC9A22008C_12</vt:lpwstr>
  </property>
  <property fmtid="{D5CDD505-2E9C-101B-9397-08002B2CF9AE}" pid="4" name="KSOTemplateDocerSaveRecord">
    <vt:lpwstr>eyJoZGlkIjoiZGFkZGMyMWUzMjE1MjhiMTgxYTdmZjUxNGFmMGE3ZmUifQ==</vt:lpwstr>
  </property>
</Properties>
</file>